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</w:t>
      </w:r>
      <w:r>
        <w:rPr>
          <w:rFonts w:ascii="黑体" w:hAnsi="黑体" w:eastAsia="黑体" w:cs="黑体"/>
          <w:szCs w:val="40"/>
        </w:rPr>
        <w:t>5</w:t>
      </w:r>
    </w:p>
    <w:p>
      <w:pPr>
        <w:widowControl/>
        <w:spacing w:after="156" w:afterLines="50"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技工院校办学条件达标计划安排表（2022年-2025年）</w:t>
      </w:r>
      <w:bookmarkEnd w:id="0"/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45"/>
        <w:gridCol w:w="2398"/>
        <w:gridCol w:w="1406"/>
        <w:gridCol w:w="2018"/>
        <w:gridCol w:w="1871"/>
        <w:gridCol w:w="15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市级人力资源社会保障部门（盖章）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学校设置规划分类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学校分类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新增校园面积</w:t>
            </w:r>
          </w:p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（平方米）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新增校舍面积（平方米）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新增教师（人）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新增仪器设备（万元）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XX市（合计）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1.1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XX县（合计）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1.1.1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XX学校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1.1.2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rPr>
          <w:rFonts w:ascii="仿宋" w:hAnsi="仿宋" w:eastAsia="仿宋" w:cs="仿宋"/>
          <w:color w:val="000000"/>
          <w:kern w:val="0"/>
          <w:sz w:val="21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>注：学校设置规划分类包括继续举办、终止办学、合并、集团化办学。</w:t>
      </w:r>
    </w:p>
    <w:p>
      <w:pPr>
        <w:pStyle w:val="2"/>
        <w:adjustRightInd w:val="0"/>
        <w:snapToGrid w:val="0"/>
        <w:spacing w:line="620" w:lineRule="exact"/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 xml:space="preserve">    学校分类包括技工学校、高级技工学校、技师学院。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07292E0-9352-4DFF-A50C-D6A31C623CB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633208B-205A-44CB-A8E4-C639FB28C2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87E038E-15F0-4FD5-9396-2F2F67EAB3A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3C750A6-AA7B-4060-B849-FE4BDF72FE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75046D4B"/>
    <w:rsid w:val="26C67C06"/>
    <w:rsid w:val="750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2022-12-13T03:04:00Z</dcterms:created>
  <dc:creator>小胖鱼儿妈妈</dc:creator>
  <cp:lastModifiedBy>小胖鱼儿妈妈</cp:lastModifiedBy>
  <dcterms:modified xsi:type="dcterms:W3CDTF">2022-12-13T03:04:56Z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24B17F61273743FA838896356F8C3C0F</vt:lpwstr>
  </property>
</Properties>
</file>